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院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劳务派遣招聘岗位信息表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862"/>
        <w:gridCol w:w="2751"/>
        <w:gridCol w:w="1038"/>
        <w:gridCol w:w="805"/>
        <w:gridCol w:w="1985"/>
        <w:gridCol w:w="5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职称及职业资格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城乡规划、区域经济学、产业经济学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、自然地理学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周岁以下</w:t>
            </w: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中级及以上专业技术职称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具备5年及以上产业咨询、行业研究、项目与园区策划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城乡规划、产业规划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相关工作经验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；建议男性应聘。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经济学门类、管理学门类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、工学门类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  <w:t>咨询工程师（投资）职业资格优先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中共党员优先；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具备开放经济、产业经济、前沿技术研发或管理等领域研究或从业背景优先；具备规划编制、可研报告编制、政府课题研究、项目咨询评估等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202503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7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经济学门类、管理学门类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中级及以上专业技术职称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具备3年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以上产业咨询、行业研究、项目咨询相关工作经验。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具备服务业领域相关研究经验优先。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202504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环境工程（水污染治理）、城市可持续发展、城乡规划、建筑学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  <w:t>咨询工程师（投资）职业资格优先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具备生态环保、能源领域相关研究经验优先。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202505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不限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  <w:t>咨询工程师（投资）职业资格优先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作为项目负责人，有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  <w:t>编制特许经营方案的相关经验。了解特许经营方案新机制有关要求，熟悉特许经营方案财务测算、法律法规有关内容。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土木工程、工程造价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造价工程师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（建筑）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  <w:t>职业资格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工程咨询公司、研究院或设计院等工作经验优先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0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2025-01-17T07:53:07Z</dcterms:created>
  <dc:creator>Administrator</dc:creator>
  <cp:lastModifiedBy>Administrator</cp:lastModifiedBy>
  <dcterms:modified xsi:type="dcterms:W3CDTF">2025-01-17T07:53:25Z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4A13412D026546859E5836CF9DE0A20E</vt:lpwstr>
  </property>
</Properties>
</file>